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отношении: должностного лица – директора общества с ограниченной ответственностью «НЕФТЕМОНТАЖ» </w:t>
      </w:r>
      <w:r>
        <w:rPr>
          <w:rFonts w:ascii="Times New Roman" w:eastAsia="Times New Roman" w:hAnsi="Times New Roman" w:cs="Times New Roman"/>
          <w:sz w:val="26"/>
          <w:szCs w:val="26"/>
        </w:rPr>
        <w:t>Лазина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Романа Леонидовича, </w:t>
      </w:r>
      <w:r>
        <w:rPr>
          <w:rStyle w:val="cat-ExternalSystemDefinedgrp-37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ЧИАССР, зарегистрированного по адресу: </w:t>
      </w:r>
      <w:r>
        <w:rPr>
          <w:rStyle w:val="cat-UserDefinedgrp-39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адрес юридического лица: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Ермака, д. 4, к. А.,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Лазин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Р.Л.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</w:t>
      </w:r>
      <w:r>
        <w:rPr>
          <w:rFonts w:ascii="Times New Roman" w:eastAsia="Times New Roman" w:hAnsi="Times New Roman" w:cs="Times New Roman"/>
          <w:sz w:val="26"/>
          <w:szCs w:val="26"/>
        </w:rPr>
        <w:t>«НЕФТЕМОНТАЖ»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улица Ермака, д. 4, к. А.,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пункта 5 статьи 174 Налогового кодекса Российской Федерации, не представил в установленный законодательством о налогах и сборах срок, а именно: не позднее 24.00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налоговую декларацию по налогу на добавленную стоимость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2022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Лазин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Р.Л.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Лазин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Р.Л.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ый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Лазин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Р.Л.,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Лазина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Р.Л.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86172334500381700001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.12.2023 года;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«НЕФТЕМОНТАЖ»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справкой об отсутствии декларации к установленному сроку.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</w:t>
      </w:r>
      <w:r>
        <w:rPr>
          <w:rFonts w:ascii="Times New Roman" w:eastAsia="Times New Roman" w:hAnsi="Times New Roman" w:cs="Times New Roman"/>
          <w:sz w:val="26"/>
          <w:szCs w:val="26"/>
        </w:rPr>
        <w:t>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Лазина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4 пункта 1 статьи 23 Налогового кодекса Российской Федерации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пунктов 1, 6 статьи 80 Налогового кодекса Российской Федерации 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сборах. Налоговая декларация (расчет) представляется в установленные законодательством о налогах и сборах сроки.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пункту 5 статьи 174 Налогового кодекса Российской Федерации налогоплательщики (в том числе являющиеся налоговыми агентами), а также лица, указанные в пункте 8 статьи 161 и пункте 5 статьи 173 названного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главой 21 названного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Налоговый период (в том числе для налогоплательщиков, исполняющих обязанности налоговых агентов) устанавливается как квартал (статья 163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7 статьи 6.1 Налогового кодекса Российской Федерации установлено, что в случаях, когда последний день срока приходится на день, признаваемый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Законными представителями налогоплательщика - организации признаются лица, уполномоченные представлять указанную организацию на основании закона или ее учредительных документов (пункт 1 статьи 27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Лазин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 момент возникновения обязанности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«НЕФТЕМОНТАЖ»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налоговую декларацию по налогу на добавленную стоимость за 4 квартал 2022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осуществлял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Лазин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Р.Л.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Лазин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Лазин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Лазин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дминистративное наказание, обстоятельств, предусмотренных ст. 4.2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предусмотренных </w:t>
      </w:r>
      <w:r>
        <w:rPr>
          <w:rFonts w:ascii="Times New Roman" w:eastAsia="Times New Roman" w:hAnsi="Times New Roman" w:cs="Times New Roman"/>
          <w:sz w:val="26"/>
          <w:szCs w:val="26"/>
        </w:rPr>
        <w:t>ст. 4.3 Кодекса Российской Федерации об административных правонарушениях, и отягчающи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Лазин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Р.Л.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общества с ограниченной ответственностью «НЕФТЕМОНТАЖ» </w:t>
      </w:r>
      <w:r>
        <w:rPr>
          <w:rFonts w:ascii="Times New Roman" w:eastAsia="Times New Roman" w:hAnsi="Times New Roman" w:cs="Times New Roman"/>
          <w:sz w:val="26"/>
          <w:szCs w:val="26"/>
        </w:rPr>
        <w:t>Лазина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Романа Леонидовича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триста)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0412365400135000382415142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7rplc-7">
    <w:name w:val="cat-ExternalSystemDefined grp-37 rplc-7"/>
    <w:basedOn w:val="DefaultParagraphFont"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9rplc-10">
    <w:name w:val="cat-UserDefined grp-39 rplc-10"/>
    <w:basedOn w:val="DefaultParagraphFont"/>
  </w:style>
  <w:style w:type="character" w:customStyle="1" w:styleId="cat-PassportDatagrp-26rplc-14">
    <w:name w:val="cat-PassportData grp-26 rplc-14"/>
    <w:basedOn w:val="DefaultParagraphFont"/>
  </w:style>
  <w:style w:type="character" w:customStyle="1" w:styleId="cat-ExternalSystemDefinedgrp-38rplc-15">
    <w:name w:val="cat-ExternalSystemDefined grp-38 rplc-15"/>
    <w:basedOn w:val="DefaultParagraphFont"/>
  </w:style>
  <w:style w:type="character" w:customStyle="1" w:styleId="cat-ExternalSystemDefinedgrp-36rplc-16">
    <w:name w:val="cat-ExternalSystemDefined grp-36 rplc-16"/>
    <w:basedOn w:val="DefaultParagraphFont"/>
  </w:style>
  <w:style w:type="character" w:customStyle="1" w:styleId="cat-ExternalSystemDefinedgrp-35rplc-17">
    <w:name w:val="cat-ExternalSystemDefined grp-35 rplc-17"/>
    <w:basedOn w:val="DefaultParagraphFont"/>
  </w:style>
  <w:style w:type="character" w:customStyle="1" w:styleId="cat-ExternalSystemDefinedgrp-34rplc-18">
    <w:name w:val="cat-ExternalSystemDefined grp-34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